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right"/>
        <w:rPr>
          <w:sz w:val="20"/>
          <w:szCs w:val="20"/>
        </w:rPr>
      </w:pPr>
      <w:r>
        <w:rPr>
          <w:sz w:val="20"/>
          <w:szCs w:val="20"/>
        </w:rPr>
      </w:r>
    </w:p>
    <w:p>
      <w:pPr>
        <w:pStyle w:val="Normal"/>
        <w:spacing w:before="0" w:after="0"/>
        <w:jc w:val="right"/>
        <w:rPr>
          <w:sz w:val="20"/>
          <w:szCs w:val="20"/>
        </w:rPr>
      </w:pPr>
      <w:r>
        <w:rPr>
          <w:sz w:val="20"/>
          <w:szCs w:val="20"/>
        </w:rPr>
      </w:r>
    </w:p>
    <w:p>
      <w:pPr>
        <w:pStyle w:val="Normal"/>
        <w:spacing w:before="0" w:after="0"/>
        <w:jc w:val="center"/>
        <w:rPr>
          <w:rFonts w:ascii="Times New Roman" w:hAnsi="Times New Roman" w:cs="Times New Roman"/>
          <w:sz w:val="24"/>
          <w:szCs w:val="24"/>
        </w:rPr>
      </w:pPr>
      <w:r>
        <w:rPr>
          <w:rFonts w:cs="Times New Roman" w:ascii="Times New Roman" w:hAnsi="Times New Roman"/>
          <w:b/>
          <w:sz w:val="28"/>
          <w:szCs w:val="28"/>
        </w:rPr>
        <w:t>Plus tard et plus loin la  Commune</w:t>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Pierre Bance nous livre un ouvrage ambitieux intitulé </w:t>
      </w:r>
      <w:r>
        <w:rPr>
          <w:rFonts w:cs="Times New Roman" w:ascii="Times New Roman" w:hAnsi="Times New Roman"/>
          <w:i/>
          <w:sz w:val="24"/>
          <w:szCs w:val="24"/>
        </w:rPr>
        <w:t>La Grande Fédération</w:t>
      </w:r>
      <w:r>
        <w:rPr>
          <w:rFonts w:cs="Times New Roman" w:ascii="Times New Roman" w:hAnsi="Times New Roman"/>
          <w:sz w:val="24"/>
          <w:szCs w:val="24"/>
        </w:rPr>
        <w:t xml:space="preserve"> où il nous propose de nous mettre en réflexion sur le devenir et sur la construction d’une société de liberté, en d’autres termes libertaire. Il nous propose pour cela d’interroger et d’actualiser la geste révolutionnaire dans l’esprit de l’unité révolutionnaire prolétarienne telle que pensée lors de la création de la Première Internationale (AIT) en 1864.</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Pour étayer son propos le livre est bâti autour et sur quatre théorèmes où l’exemple de la Commune de Paris, du syndicalisme révolutionnaire, le projet communalisme libertaire, etc., sont sollicités. </w:t>
      </w:r>
    </w:p>
    <w:p>
      <w:pPr>
        <w:pStyle w:val="Normal"/>
        <w:spacing w:before="0" w:after="0"/>
        <w:jc w:val="both"/>
        <w:rPr>
          <w:rFonts w:ascii="Times New Roman" w:hAnsi="Times New Roman" w:cs="Times New Roman"/>
          <w:sz w:val="24"/>
          <w:szCs w:val="24"/>
        </w:rPr>
      </w:pPr>
      <w:r>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Le premier est en résonance parfaite avec les vieilles intuitions libertaires : « </w:t>
      </w:r>
      <w:r>
        <w:rPr>
          <w:rFonts w:cs="Times New Roman" w:ascii="Times New Roman" w:hAnsi="Times New Roman"/>
          <w:i/>
          <w:sz w:val="24"/>
          <w:szCs w:val="24"/>
        </w:rPr>
        <w:t>croire que l’État peut ne pas être dominateur est comme croire que le  Capital peut ne pas être profiteur »</w:t>
      </w:r>
      <w:r>
        <w:rPr>
          <w:rFonts w:cs="Times New Roman" w:ascii="Times New Roman" w:hAnsi="Times New Roman"/>
          <w:sz w:val="24"/>
          <w:szCs w:val="24"/>
        </w:rPr>
        <w:t xml:space="preserve"> et que souvent dans les périodes révolutionnaires sa tendance est à son renforcement et/ou à ré-apparition comme en Russie après 1917 ou encore en Espagne de 1936 à 1939. </w:t>
      </w:r>
    </w:p>
    <w:p>
      <w:pPr>
        <w:pStyle w:val="Normal"/>
        <w:spacing w:before="0" w:after="0"/>
        <w:jc w:val="both"/>
        <w:rPr>
          <w:rFonts w:ascii="Times New Roman" w:hAnsi="Times New Roman" w:cs="Times New Roman"/>
          <w:sz w:val="24"/>
          <w:szCs w:val="24"/>
        </w:rPr>
      </w:pPr>
      <w:r>
        <w:rPr/>
      </w:r>
    </w:p>
    <w:p>
      <w:pPr>
        <w:pStyle w:val="Normal"/>
        <w:spacing w:before="0" w:after="0"/>
        <w:jc w:val="both"/>
        <w:rPr>
          <w:rFonts w:ascii="Times New Roman" w:hAnsi="Times New Roman" w:cs="Times New Roman"/>
          <w:i/>
          <w:i/>
          <w:sz w:val="24"/>
          <w:szCs w:val="24"/>
        </w:rPr>
      </w:pPr>
      <w:r>
        <w:rPr>
          <w:rFonts w:cs="Times New Roman" w:ascii="Times New Roman" w:hAnsi="Times New Roman"/>
          <w:sz w:val="24"/>
          <w:szCs w:val="24"/>
        </w:rPr>
        <w:t xml:space="preserve">Le deuxième théorème : </w:t>
      </w:r>
      <w:r>
        <w:rPr>
          <w:rFonts w:cs="Times New Roman" w:ascii="Times New Roman" w:hAnsi="Times New Roman"/>
          <w:i/>
          <w:sz w:val="24"/>
          <w:szCs w:val="24"/>
        </w:rPr>
        <w:t>« sans un mouvement pour la démocratie directe, la commune et le fédéralisme, un autre futur est impossible »</w:t>
      </w:r>
      <w:r>
        <w:rPr>
          <w:rFonts w:cs="Times New Roman" w:ascii="Times New Roman" w:hAnsi="Times New Roman"/>
          <w:sz w:val="24"/>
          <w:szCs w:val="24"/>
        </w:rPr>
        <w:t>. La démonstration ici s’appuie sur trois modèles de réalisations révolutionnaires, réformistes ou radicales et sur le principe d’une nécessaire acceptation mutuelle, articulée à une convergence non étatiste des courants sociaux émancipateurs.</w:t>
      </w:r>
    </w:p>
    <w:p>
      <w:pPr>
        <w:pStyle w:val="Normal"/>
        <w:spacing w:before="0" w:after="0"/>
        <w:jc w:val="both"/>
        <w:rPr>
          <w:rFonts w:ascii="Times New Roman" w:hAnsi="Times New Roman" w:cs="Times New Roman"/>
          <w:i/>
          <w:i/>
          <w:sz w:val="24"/>
          <w:szCs w:val="24"/>
        </w:rPr>
      </w:pPr>
      <w:r>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Le troisième : </w:t>
      </w:r>
      <w:r>
        <w:rPr>
          <w:rFonts w:cs="Times New Roman" w:ascii="Times New Roman" w:hAnsi="Times New Roman"/>
          <w:i/>
          <w:sz w:val="24"/>
          <w:szCs w:val="24"/>
        </w:rPr>
        <w:t>« Faute d’avoir pensé les instituions de la société à venir, la révolution communaliste est vouée à l’échec »</w:t>
      </w:r>
      <w:r>
        <w:rPr>
          <w:rFonts w:cs="Times New Roman" w:ascii="Times New Roman" w:hAnsi="Times New Roman"/>
          <w:sz w:val="24"/>
          <w:szCs w:val="24"/>
        </w:rPr>
        <w:t>. Ici l’auteur préfigure quelques fonctionnements institutionnels et autogestionnaires de la société future mais où il se garde bien de dire « comment nous ferons la révolution, mais [seulement] comment être prêts à la survenance de l’événement ».</w:t>
      </w:r>
    </w:p>
    <w:p>
      <w:pPr>
        <w:pStyle w:val="Normal"/>
        <w:spacing w:before="0" w:after="0"/>
        <w:jc w:val="both"/>
        <w:rPr>
          <w:rFonts w:ascii="Times New Roman" w:hAnsi="Times New Roman" w:cs="Times New Roman"/>
          <w:sz w:val="24"/>
          <w:szCs w:val="24"/>
        </w:rPr>
      </w:pPr>
      <w:r>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La quatrième et dernier théorème : </w:t>
      </w:r>
      <w:r>
        <w:rPr>
          <w:rFonts w:cs="Times New Roman" w:ascii="Times New Roman" w:hAnsi="Times New Roman"/>
          <w:i/>
          <w:sz w:val="24"/>
          <w:szCs w:val="24"/>
        </w:rPr>
        <w:t>« Faute d’avoir dessiné les droits et les libertés de la société à venir, la révolution émancipatrice est vouée à l’échec »</w:t>
      </w:r>
      <w:r>
        <w:rPr>
          <w:rFonts w:cs="Times New Roman" w:ascii="Times New Roman" w:hAnsi="Times New Roman"/>
          <w:sz w:val="24"/>
          <w:szCs w:val="24"/>
        </w:rPr>
        <w:t>. Bance brosse ici, sans dogmatisme mais en donnant des pistes, les incontournables juridiques et sociaux qui doivent garantir les libertés et les droits individuels et collectifs dans une société autogérée.</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0"/>
          <w:szCs w:val="20"/>
        </w:rPr>
      </w:pPr>
      <w:r>
        <w:rPr>
          <w:rFonts w:cs="Times New Roman" w:ascii="Times New Roman" w:hAnsi="Times New Roman"/>
          <w:sz w:val="24"/>
          <w:szCs w:val="24"/>
        </w:rPr>
        <w:t xml:space="preserve">En d’autres termes, pour Pierre Bance, un autre monde, </w:t>
      </w:r>
      <w:r>
        <w:rPr>
          <w:rFonts w:cs="Times New Roman" w:ascii="Times New Roman" w:hAnsi="Times New Roman"/>
          <w:i/>
          <w:sz w:val="24"/>
          <w:szCs w:val="24"/>
        </w:rPr>
        <w:t>versus</w:t>
      </w:r>
      <w:r>
        <w:rPr>
          <w:rFonts w:cs="Times New Roman" w:ascii="Times New Roman" w:hAnsi="Times New Roman"/>
          <w:sz w:val="24"/>
          <w:szCs w:val="24"/>
        </w:rPr>
        <w:t xml:space="preserve"> une grande Fédération libertaire, est possible mais il se prépare collectivement en amont. A cette fin, une synthèse pratique d’une centaine de pages (et non 460, hors annexe)) serait bien utile pour faire accéder plus de lecteurs et de lectrices au processus révolutionnaire qu’il propose.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0"/>
          <w:szCs w:val="20"/>
        </w:rPr>
      </w:pPr>
      <w:r>
        <w:rPr>
          <w:rFonts w:cs="Times New Roman" w:ascii="Times New Roman" w:hAnsi="Times New Roman"/>
          <w:sz w:val="20"/>
          <w:szCs w:val="20"/>
        </w:rPr>
        <w:t xml:space="preserve">Bance  P., 2025, </w:t>
      </w:r>
      <w:r>
        <w:rPr>
          <w:rFonts w:cs="Times New Roman" w:ascii="Times New Roman" w:hAnsi="Times New Roman"/>
          <w:i/>
          <w:sz w:val="20"/>
          <w:szCs w:val="20"/>
        </w:rPr>
        <w:t>La grande Fédération, démocratie directe et vie fédérale</w:t>
      </w:r>
      <w:r>
        <w:rPr>
          <w:rFonts w:cs="Times New Roman" w:ascii="Times New Roman" w:hAnsi="Times New Roman"/>
          <w:sz w:val="20"/>
          <w:szCs w:val="20"/>
        </w:rPr>
        <w:t>, Paris, Ed. Noir et Rouge.</w:t>
      </w:r>
    </w:p>
    <w:p>
      <w:pPr>
        <w:pStyle w:val="Normal"/>
        <w:spacing w:before="0" w:after="0"/>
        <w:jc w:val="both"/>
        <w:rPr>
          <w:rFonts w:ascii="Times New Roman" w:hAnsi="Times New Roman" w:cs="Times New Roman"/>
          <w:i/>
          <w:i/>
          <w:sz w:val="24"/>
          <w:szCs w:val="24"/>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LibreOffice/7.3.7.2$Linux_X86_64 LibreOffice_project/30$Build-2</Application>
  <AppVersion>15.0000</AppVersion>
  <Pages>1</Pages>
  <Words>407</Words>
  <Characters>2188</Characters>
  <CharactersWithSpaces>2594</CharactersWithSpaces>
  <Paragraphs>10</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2025-10-08T06:27:00Z</dcterms:created>
  <dc:creator>PORTABLE LA BOUCLE</dc:creator>
  <dc:description/>
  <dc:language>fr-FR</dc:language>
  <cp:lastModifiedBy/>
  <dcterms:modified xsi:type="dcterms:W3CDTF">2025-10-11T13:15:20Z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